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default" w:ascii="Times New Roman" w:hAnsi="Times New Roman" w:cs="Times New Roman"/>
          <w:sz w:val="30"/>
          <w:szCs w:val="30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lang w:eastAsia="zh-CN"/>
        </w:rPr>
        <w:t>低温医用冰箱参数要求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最低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制冷温度至少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可达-40℃；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有效容量在300L以上；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电压：220V/50~60HZ；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日常使用噪音小于70 dB（A）；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冰箱外观需为立式，以节省占地面积；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外门锁扣有2个或保留2个锁扣的升级空间，以满足的“双人双锁”制度；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设备质量性能好，故障率低；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设备具有异常报警提醒功能：高低温报警、断电报警、传感器故障报警、环境温度报警、开门报警等；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附带远程温度监控及短信报警模块； 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有完善的售后服务体系，如遇故障工程师需及时赶到现场进行处理；</w:t>
      </w:r>
    </w:p>
    <w:p>
      <w:pPr>
        <w:numPr>
          <w:ilvl w:val="0"/>
          <w:numId w:val="1"/>
        </w:numPr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产品的各资质材料齐全。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E420"/>
    <w:multiLevelType w:val="singleLevel"/>
    <w:tmpl w:val="5A6FE4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0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2018-01-31T09:19:31Z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