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45" w:rsidRPr="008D5429" w:rsidRDefault="00CB6C45" w:rsidP="00D113BC">
      <w:pPr>
        <w:jc w:val="center"/>
        <w:rPr>
          <w:b/>
          <w:sz w:val="36"/>
          <w:szCs w:val="32"/>
        </w:rPr>
      </w:pPr>
      <w:r w:rsidRPr="008D5429">
        <w:rPr>
          <w:rFonts w:hint="eastAsia"/>
          <w:b/>
          <w:sz w:val="36"/>
          <w:szCs w:val="32"/>
        </w:rPr>
        <w:t>西安市儿童医院</w:t>
      </w:r>
      <w:r w:rsidRPr="008D5429">
        <w:rPr>
          <w:b/>
          <w:sz w:val="36"/>
          <w:szCs w:val="32"/>
        </w:rPr>
        <w:t>飞利浦</w:t>
      </w:r>
      <w:r w:rsidRPr="008D5429">
        <w:rPr>
          <w:rFonts w:hint="eastAsia"/>
          <w:b/>
          <w:sz w:val="36"/>
          <w:szCs w:val="32"/>
        </w:rPr>
        <w:t>HD15</w:t>
      </w:r>
      <w:r w:rsidRPr="008D5429">
        <w:rPr>
          <w:rFonts w:hint="eastAsia"/>
          <w:b/>
          <w:sz w:val="36"/>
          <w:szCs w:val="32"/>
        </w:rPr>
        <w:t>彩超</w:t>
      </w:r>
      <w:r w:rsidR="00D113BC" w:rsidRPr="008D5429">
        <w:rPr>
          <w:rFonts w:hint="eastAsia"/>
          <w:b/>
          <w:sz w:val="36"/>
          <w:szCs w:val="32"/>
        </w:rPr>
        <w:t>设备</w:t>
      </w:r>
    </w:p>
    <w:p w:rsidR="00AF64F0" w:rsidRPr="008D5429" w:rsidRDefault="00CB6C45" w:rsidP="00D113BC">
      <w:pPr>
        <w:jc w:val="center"/>
        <w:rPr>
          <w:b/>
          <w:sz w:val="36"/>
          <w:szCs w:val="32"/>
        </w:rPr>
      </w:pPr>
      <w:r w:rsidRPr="008D5429">
        <w:rPr>
          <w:rFonts w:hint="eastAsia"/>
          <w:b/>
          <w:sz w:val="36"/>
          <w:szCs w:val="32"/>
        </w:rPr>
        <w:t>维保</w:t>
      </w:r>
      <w:r w:rsidRPr="008D5429">
        <w:rPr>
          <w:b/>
          <w:sz w:val="36"/>
          <w:szCs w:val="32"/>
        </w:rPr>
        <w:t>内容</w:t>
      </w:r>
      <w:r w:rsidRPr="008D5429">
        <w:rPr>
          <w:rFonts w:hint="eastAsia"/>
          <w:b/>
          <w:sz w:val="36"/>
          <w:szCs w:val="32"/>
        </w:rPr>
        <w:t>及响应要求</w:t>
      </w:r>
    </w:p>
    <w:p w:rsidR="00CB6C45" w:rsidRPr="008D5429" w:rsidRDefault="00CB6C45" w:rsidP="00CB6C45">
      <w:pPr>
        <w:rPr>
          <w:b/>
          <w:sz w:val="28"/>
          <w:szCs w:val="32"/>
        </w:rPr>
      </w:pPr>
      <w:r w:rsidRPr="008D5429">
        <w:rPr>
          <w:rFonts w:hint="eastAsia"/>
          <w:b/>
          <w:sz w:val="28"/>
          <w:szCs w:val="32"/>
        </w:rPr>
        <w:t>维保</w:t>
      </w:r>
      <w:r w:rsidRPr="008D5429">
        <w:rPr>
          <w:b/>
          <w:sz w:val="28"/>
          <w:szCs w:val="32"/>
        </w:rPr>
        <w:t>内容：</w:t>
      </w:r>
      <w:r w:rsidR="008D5429">
        <w:rPr>
          <w:rFonts w:hint="eastAsia"/>
          <w:b/>
          <w:sz w:val="28"/>
          <w:szCs w:val="32"/>
        </w:rPr>
        <w:t>飞利浦</w:t>
      </w:r>
      <w:r w:rsidR="008D5429">
        <w:rPr>
          <w:b/>
          <w:sz w:val="28"/>
          <w:szCs w:val="32"/>
        </w:rPr>
        <w:t>彩超</w:t>
      </w:r>
      <w:r w:rsidRPr="008D5429">
        <w:rPr>
          <w:rFonts w:hint="eastAsia"/>
          <w:b/>
          <w:sz w:val="28"/>
          <w:szCs w:val="32"/>
        </w:rPr>
        <w:t>HD15</w:t>
      </w:r>
      <w:r w:rsidRPr="008D5429">
        <w:rPr>
          <w:rFonts w:hint="eastAsia"/>
          <w:b/>
          <w:sz w:val="28"/>
          <w:szCs w:val="32"/>
        </w:rPr>
        <w:t>主机两年期</w:t>
      </w:r>
      <w:r w:rsidRPr="008D5429">
        <w:rPr>
          <w:b/>
          <w:sz w:val="28"/>
          <w:szCs w:val="32"/>
        </w:rPr>
        <w:t>保修服务</w:t>
      </w:r>
      <w:r w:rsidRPr="008D5429">
        <w:rPr>
          <w:rFonts w:hint="eastAsia"/>
          <w:b/>
          <w:sz w:val="28"/>
          <w:szCs w:val="32"/>
        </w:rPr>
        <w:t>，保修</w:t>
      </w:r>
      <w:r w:rsidRPr="008D5429">
        <w:rPr>
          <w:b/>
          <w:sz w:val="28"/>
          <w:szCs w:val="32"/>
        </w:rPr>
        <w:t>期</w:t>
      </w:r>
      <w:r w:rsidRPr="008D5429">
        <w:rPr>
          <w:rFonts w:hint="eastAsia"/>
          <w:b/>
          <w:sz w:val="28"/>
          <w:szCs w:val="32"/>
        </w:rPr>
        <w:t>内</w:t>
      </w:r>
      <w:r w:rsidR="00D46F42">
        <w:rPr>
          <w:rFonts w:hint="eastAsia"/>
          <w:b/>
          <w:sz w:val="28"/>
          <w:szCs w:val="32"/>
        </w:rPr>
        <w:t>主机</w:t>
      </w:r>
      <w:r w:rsidRPr="008D5429">
        <w:rPr>
          <w:b/>
          <w:sz w:val="28"/>
          <w:szCs w:val="32"/>
        </w:rPr>
        <w:t>可更换所有备件，包含每年定期保养服务，</w:t>
      </w:r>
      <w:r w:rsidRPr="008D5429">
        <w:rPr>
          <w:rFonts w:hint="eastAsia"/>
          <w:b/>
          <w:sz w:val="28"/>
          <w:szCs w:val="32"/>
        </w:rPr>
        <w:t>包含</w:t>
      </w:r>
      <w:r w:rsidRPr="008D5429">
        <w:rPr>
          <w:b/>
          <w:sz w:val="28"/>
          <w:szCs w:val="32"/>
        </w:rPr>
        <w:t>一支二维探头保修，并解决现有</w:t>
      </w:r>
      <w:r w:rsidRPr="008D5429">
        <w:rPr>
          <w:rFonts w:hint="eastAsia"/>
          <w:b/>
          <w:sz w:val="28"/>
          <w:szCs w:val="32"/>
        </w:rPr>
        <w:t>全部</w:t>
      </w:r>
      <w:r w:rsidRPr="008D5429">
        <w:rPr>
          <w:b/>
          <w:sz w:val="28"/>
          <w:szCs w:val="32"/>
        </w:rPr>
        <w:t>故障</w:t>
      </w:r>
      <w:r w:rsidRPr="008D5429">
        <w:rPr>
          <w:rFonts w:hint="eastAsia"/>
          <w:b/>
          <w:sz w:val="28"/>
          <w:szCs w:val="32"/>
        </w:rPr>
        <w:t>。</w:t>
      </w:r>
    </w:p>
    <w:p w:rsidR="008D5429" w:rsidRDefault="008D5429" w:rsidP="00CB6C45">
      <w:pPr>
        <w:rPr>
          <w:b/>
          <w:sz w:val="28"/>
          <w:szCs w:val="32"/>
        </w:rPr>
      </w:pPr>
    </w:p>
    <w:p w:rsidR="00CB6C45" w:rsidRPr="008D5429" w:rsidRDefault="00CB6C45" w:rsidP="00CB6C45">
      <w:pPr>
        <w:rPr>
          <w:b/>
          <w:sz w:val="28"/>
          <w:szCs w:val="32"/>
        </w:rPr>
      </w:pPr>
      <w:r w:rsidRPr="008D5429">
        <w:rPr>
          <w:rFonts w:hint="eastAsia"/>
          <w:b/>
          <w:sz w:val="28"/>
          <w:szCs w:val="32"/>
        </w:rPr>
        <w:t>响应</w:t>
      </w:r>
      <w:r w:rsidRPr="008D5429">
        <w:rPr>
          <w:b/>
          <w:sz w:val="28"/>
          <w:szCs w:val="32"/>
        </w:rPr>
        <w:t>要求：</w:t>
      </w:r>
      <w:bookmarkStart w:id="0" w:name="_GoBack"/>
      <w:bookmarkEnd w:id="0"/>
    </w:p>
    <w:tbl>
      <w:tblPr>
        <w:tblStyle w:val="a5"/>
        <w:tblW w:w="0" w:type="auto"/>
        <w:tblLayout w:type="fixed"/>
        <w:tblLook w:val="04A0"/>
      </w:tblPr>
      <w:tblGrid>
        <w:gridCol w:w="817"/>
        <w:gridCol w:w="7655"/>
      </w:tblGrid>
      <w:tr w:rsidR="00D113BC" w:rsidRPr="00D339E6" w:rsidTr="00026EC5">
        <w:tc>
          <w:tcPr>
            <w:tcW w:w="817"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1</w:t>
            </w:r>
          </w:p>
        </w:tc>
        <w:tc>
          <w:tcPr>
            <w:tcW w:w="7655"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具备客户服务专线电话，每年365天开通，全天24小时服务</w:t>
            </w:r>
          </w:p>
        </w:tc>
      </w:tr>
      <w:tr w:rsidR="00D113BC" w:rsidRPr="00D339E6" w:rsidTr="00026EC5">
        <w:tc>
          <w:tcPr>
            <w:tcW w:w="817"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2</w:t>
            </w:r>
          </w:p>
        </w:tc>
        <w:tc>
          <w:tcPr>
            <w:tcW w:w="7655"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在西安拥有不少于3名稳定的常驻服务人员，人员具有考核合格的原厂服务资质证</w:t>
            </w:r>
          </w:p>
        </w:tc>
      </w:tr>
      <w:tr w:rsidR="00D113BC" w:rsidRPr="00D339E6" w:rsidTr="00026EC5">
        <w:tc>
          <w:tcPr>
            <w:tcW w:w="817"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3</w:t>
            </w:r>
          </w:p>
        </w:tc>
        <w:tc>
          <w:tcPr>
            <w:tcW w:w="7655"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有专职的应用培训专家，能以现场的和远程的形式，提供临床应用、图像处理和响应业务拓展的专业支持。</w:t>
            </w:r>
          </w:p>
        </w:tc>
      </w:tr>
      <w:tr w:rsidR="00D113BC" w:rsidRPr="00D339E6" w:rsidTr="00026EC5">
        <w:tc>
          <w:tcPr>
            <w:tcW w:w="817"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4</w:t>
            </w:r>
          </w:p>
        </w:tc>
        <w:tc>
          <w:tcPr>
            <w:tcW w:w="7655" w:type="dxa"/>
          </w:tcPr>
          <w:p w:rsidR="00D113BC" w:rsidRPr="008D5429" w:rsidRDefault="00CB6C45" w:rsidP="00AD5779">
            <w:pPr>
              <w:spacing w:line="312" w:lineRule="auto"/>
              <w:rPr>
                <w:rFonts w:ascii="宋体" w:hAnsi="宋体"/>
                <w:sz w:val="24"/>
                <w:szCs w:val="28"/>
              </w:rPr>
            </w:pPr>
            <w:r w:rsidRPr="008D5429">
              <w:rPr>
                <w:rFonts w:ascii="宋体" w:hAnsi="宋体" w:hint="eastAsia"/>
                <w:sz w:val="24"/>
                <w:szCs w:val="28"/>
              </w:rPr>
              <w:t>可以</w:t>
            </w:r>
            <w:r w:rsidR="00D113BC" w:rsidRPr="008D5429">
              <w:rPr>
                <w:rFonts w:ascii="宋体" w:hAnsi="宋体" w:hint="eastAsia"/>
                <w:sz w:val="24"/>
                <w:szCs w:val="28"/>
              </w:rPr>
              <w:t>提供全部服务类型：定期保养、远程服务、现场服务</w:t>
            </w:r>
          </w:p>
        </w:tc>
      </w:tr>
      <w:tr w:rsidR="00D113BC" w:rsidRPr="00D339E6" w:rsidTr="00026EC5">
        <w:tc>
          <w:tcPr>
            <w:tcW w:w="817" w:type="dxa"/>
          </w:tcPr>
          <w:p w:rsidR="00D113BC" w:rsidRPr="008D5429" w:rsidRDefault="00CB6C45" w:rsidP="00AD5779">
            <w:pPr>
              <w:spacing w:line="312" w:lineRule="auto"/>
              <w:rPr>
                <w:rFonts w:ascii="宋体" w:hAnsi="宋体"/>
                <w:sz w:val="24"/>
                <w:szCs w:val="28"/>
              </w:rPr>
            </w:pPr>
            <w:r w:rsidRPr="008D5429">
              <w:rPr>
                <w:rFonts w:ascii="宋体" w:hAnsi="宋体"/>
                <w:sz w:val="24"/>
                <w:szCs w:val="28"/>
              </w:rPr>
              <w:t>5</w:t>
            </w:r>
          </w:p>
        </w:tc>
        <w:tc>
          <w:tcPr>
            <w:tcW w:w="7655"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提供自动预警、主动预防性保障和维修方案</w:t>
            </w:r>
          </w:p>
        </w:tc>
      </w:tr>
      <w:tr w:rsidR="00D113BC" w:rsidRPr="00D339E6" w:rsidTr="00026EC5">
        <w:tc>
          <w:tcPr>
            <w:tcW w:w="817" w:type="dxa"/>
          </w:tcPr>
          <w:p w:rsidR="00D113BC" w:rsidRPr="008D5429" w:rsidRDefault="008D5429" w:rsidP="00AD5779">
            <w:pPr>
              <w:spacing w:line="312" w:lineRule="auto"/>
              <w:rPr>
                <w:rFonts w:ascii="宋体" w:hAnsi="宋体"/>
                <w:sz w:val="24"/>
                <w:szCs w:val="28"/>
              </w:rPr>
            </w:pPr>
            <w:r>
              <w:rPr>
                <w:rFonts w:ascii="宋体" w:hAnsi="宋体"/>
                <w:sz w:val="24"/>
                <w:szCs w:val="28"/>
              </w:rPr>
              <w:t>6</w:t>
            </w:r>
          </w:p>
        </w:tc>
        <w:tc>
          <w:tcPr>
            <w:tcW w:w="7655" w:type="dxa"/>
          </w:tcPr>
          <w:p w:rsidR="00D113BC" w:rsidRPr="008D5429" w:rsidRDefault="00CB6C45" w:rsidP="00AD5779">
            <w:pPr>
              <w:spacing w:line="312" w:lineRule="auto"/>
              <w:rPr>
                <w:rFonts w:ascii="宋体" w:hAnsi="宋体"/>
                <w:sz w:val="24"/>
                <w:szCs w:val="28"/>
              </w:rPr>
            </w:pPr>
            <w:r w:rsidRPr="008D5429">
              <w:rPr>
                <w:rFonts w:ascii="宋体" w:hAnsi="宋体" w:hint="eastAsia"/>
                <w:sz w:val="24"/>
                <w:szCs w:val="28"/>
              </w:rPr>
              <w:t>所有更换的备件</w:t>
            </w:r>
            <w:r w:rsidR="00D113BC" w:rsidRPr="008D5429">
              <w:rPr>
                <w:rFonts w:ascii="宋体" w:hAnsi="宋体" w:hint="eastAsia"/>
                <w:sz w:val="24"/>
                <w:szCs w:val="28"/>
              </w:rPr>
              <w:t>为原厂认证/测试合格件</w:t>
            </w:r>
            <w:r w:rsidRPr="008D5429">
              <w:rPr>
                <w:rFonts w:ascii="宋体" w:hAnsi="宋体" w:hint="eastAsia"/>
                <w:sz w:val="24"/>
                <w:szCs w:val="28"/>
              </w:rPr>
              <w:t>，</w:t>
            </w:r>
            <w:r w:rsidRPr="008D5429">
              <w:rPr>
                <w:rFonts w:ascii="宋体" w:hAnsi="宋体"/>
                <w:sz w:val="24"/>
                <w:szCs w:val="28"/>
              </w:rPr>
              <w:t>备件及探头可提供报关单</w:t>
            </w:r>
          </w:p>
        </w:tc>
      </w:tr>
      <w:tr w:rsidR="00D113BC" w:rsidRPr="00D339E6" w:rsidTr="00026EC5">
        <w:tc>
          <w:tcPr>
            <w:tcW w:w="817" w:type="dxa"/>
          </w:tcPr>
          <w:p w:rsidR="00D113BC" w:rsidRPr="008D5429" w:rsidRDefault="008D5429" w:rsidP="00AD5779">
            <w:pPr>
              <w:spacing w:line="312" w:lineRule="auto"/>
              <w:rPr>
                <w:rFonts w:ascii="宋体" w:hAnsi="宋体"/>
                <w:sz w:val="24"/>
                <w:szCs w:val="28"/>
              </w:rPr>
            </w:pPr>
            <w:r>
              <w:rPr>
                <w:rFonts w:ascii="宋体" w:hAnsi="宋体"/>
                <w:sz w:val="24"/>
                <w:szCs w:val="28"/>
              </w:rPr>
              <w:t>7</w:t>
            </w:r>
          </w:p>
        </w:tc>
        <w:tc>
          <w:tcPr>
            <w:tcW w:w="7655" w:type="dxa"/>
          </w:tcPr>
          <w:p w:rsidR="00D113BC" w:rsidRPr="008D5429" w:rsidRDefault="00D113BC" w:rsidP="00AD5779">
            <w:pPr>
              <w:spacing w:line="312" w:lineRule="auto"/>
              <w:rPr>
                <w:rFonts w:ascii="宋体" w:hAnsi="宋体"/>
                <w:sz w:val="24"/>
                <w:szCs w:val="28"/>
              </w:rPr>
            </w:pPr>
            <w:r w:rsidRPr="008D5429">
              <w:rPr>
                <w:rFonts w:ascii="宋体" w:hAnsi="宋体"/>
                <w:sz w:val="24"/>
                <w:szCs w:val="28"/>
              </w:rPr>
              <w:t>响应时间：接获报修电话后提供突发性问题的解决措施及特殊紧急的合理化处理措施</w:t>
            </w:r>
            <w:r w:rsidRPr="008D5429">
              <w:rPr>
                <w:rFonts w:ascii="宋体" w:hAnsi="宋体" w:hint="eastAsia"/>
                <w:sz w:val="24"/>
                <w:szCs w:val="28"/>
              </w:rPr>
              <w:t>，每年响应时间为365天，电话响应时间须&lt;</w:t>
            </w:r>
            <w:r w:rsidR="00CB6C45" w:rsidRPr="008D5429">
              <w:rPr>
                <w:rFonts w:ascii="宋体" w:hAnsi="宋体"/>
                <w:sz w:val="24"/>
                <w:szCs w:val="28"/>
              </w:rPr>
              <w:t>2</w:t>
            </w:r>
            <w:r w:rsidRPr="008D5429">
              <w:rPr>
                <w:rFonts w:ascii="宋体" w:hAnsi="宋体" w:hint="eastAsia"/>
                <w:sz w:val="24"/>
                <w:szCs w:val="28"/>
              </w:rPr>
              <w:t>小时，到达现场时间&lt;</w:t>
            </w:r>
            <w:r w:rsidR="00CB6C45" w:rsidRPr="008D5429">
              <w:rPr>
                <w:rFonts w:ascii="宋体" w:hAnsi="宋体"/>
                <w:sz w:val="24"/>
                <w:szCs w:val="28"/>
              </w:rPr>
              <w:t>24</w:t>
            </w:r>
            <w:r w:rsidRPr="008D5429">
              <w:rPr>
                <w:rFonts w:ascii="宋体" w:hAnsi="宋体" w:hint="eastAsia"/>
                <w:sz w:val="24"/>
                <w:szCs w:val="28"/>
              </w:rPr>
              <w:t>小时</w:t>
            </w:r>
          </w:p>
        </w:tc>
      </w:tr>
      <w:tr w:rsidR="00D113BC" w:rsidRPr="00D339E6" w:rsidTr="00026EC5">
        <w:tc>
          <w:tcPr>
            <w:tcW w:w="817" w:type="dxa"/>
          </w:tcPr>
          <w:p w:rsidR="00D113BC" w:rsidRPr="008D5429" w:rsidRDefault="008D5429" w:rsidP="00AD5779">
            <w:pPr>
              <w:spacing w:line="312" w:lineRule="auto"/>
              <w:rPr>
                <w:rFonts w:ascii="宋体" w:hAnsi="宋体"/>
                <w:sz w:val="24"/>
                <w:szCs w:val="28"/>
              </w:rPr>
            </w:pPr>
            <w:r>
              <w:rPr>
                <w:rFonts w:ascii="宋体" w:hAnsi="宋体"/>
                <w:sz w:val="24"/>
                <w:szCs w:val="28"/>
              </w:rPr>
              <w:t>8</w:t>
            </w:r>
          </w:p>
        </w:tc>
        <w:tc>
          <w:tcPr>
            <w:tcW w:w="7655" w:type="dxa"/>
          </w:tcPr>
          <w:p w:rsidR="00D113BC" w:rsidRPr="008D5429" w:rsidRDefault="00D113BC" w:rsidP="00AD5779">
            <w:pPr>
              <w:spacing w:line="312" w:lineRule="auto"/>
              <w:rPr>
                <w:rFonts w:ascii="宋体" w:hAnsi="宋体"/>
                <w:sz w:val="24"/>
                <w:szCs w:val="28"/>
              </w:rPr>
            </w:pPr>
            <w:r w:rsidRPr="008D5429">
              <w:rPr>
                <w:rFonts w:ascii="宋体" w:hAnsi="宋体" w:hint="eastAsia"/>
                <w:sz w:val="24"/>
                <w:szCs w:val="28"/>
              </w:rPr>
              <w:t>及时获取提供全套完整的原厂系统软件硬件改版措施</w:t>
            </w:r>
          </w:p>
        </w:tc>
      </w:tr>
      <w:tr w:rsidR="00D113BC" w:rsidRPr="00D339E6" w:rsidTr="00026EC5">
        <w:tc>
          <w:tcPr>
            <w:tcW w:w="817" w:type="dxa"/>
          </w:tcPr>
          <w:p w:rsidR="00D113BC" w:rsidRPr="008D5429" w:rsidRDefault="008D5429" w:rsidP="00AD5779">
            <w:pPr>
              <w:spacing w:line="312" w:lineRule="auto"/>
              <w:rPr>
                <w:rFonts w:ascii="宋体" w:hAnsi="宋体"/>
                <w:sz w:val="24"/>
                <w:szCs w:val="28"/>
              </w:rPr>
            </w:pPr>
            <w:r>
              <w:rPr>
                <w:rFonts w:ascii="宋体" w:hAnsi="宋体"/>
                <w:sz w:val="24"/>
                <w:szCs w:val="28"/>
              </w:rPr>
              <w:t>9</w:t>
            </w:r>
          </w:p>
        </w:tc>
        <w:tc>
          <w:tcPr>
            <w:tcW w:w="7655" w:type="dxa"/>
          </w:tcPr>
          <w:p w:rsidR="00D113BC" w:rsidRPr="008D5429" w:rsidRDefault="00CB6C45" w:rsidP="00AD5779">
            <w:pPr>
              <w:spacing w:line="312" w:lineRule="auto"/>
              <w:rPr>
                <w:rFonts w:ascii="宋体" w:hAnsi="宋体"/>
                <w:sz w:val="24"/>
                <w:szCs w:val="28"/>
              </w:rPr>
            </w:pPr>
            <w:r w:rsidRPr="008D5429">
              <w:rPr>
                <w:rFonts w:ascii="宋体" w:hAnsi="宋体" w:hint="eastAsia"/>
                <w:sz w:val="24"/>
                <w:szCs w:val="28"/>
              </w:rPr>
              <w:t>需要合法</w:t>
            </w:r>
            <w:r w:rsidR="00D113BC" w:rsidRPr="008D5429">
              <w:rPr>
                <w:rFonts w:ascii="宋体" w:hAnsi="宋体"/>
                <w:sz w:val="24"/>
                <w:szCs w:val="28"/>
              </w:rPr>
              <w:t>使用有效的原厂高级故障诊断软件诊断维修钥匙（</w:t>
            </w:r>
            <w:r w:rsidR="00D113BC" w:rsidRPr="008D5429">
              <w:rPr>
                <w:rFonts w:ascii="宋体" w:hAnsi="宋体" w:hint="eastAsia"/>
                <w:sz w:val="24"/>
                <w:szCs w:val="28"/>
              </w:rPr>
              <w:t>S</w:t>
            </w:r>
            <w:r w:rsidR="00D113BC" w:rsidRPr="008D5429">
              <w:rPr>
                <w:rFonts w:ascii="宋体" w:hAnsi="宋体"/>
                <w:sz w:val="24"/>
                <w:szCs w:val="28"/>
              </w:rPr>
              <w:t>ervice Key）</w:t>
            </w:r>
          </w:p>
        </w:tc>
      </w:tr>
      <w:tr w:rsidR="00D113BC" w:rsidRPr="00D339E6" w:rsidTr="00026EC5">
        <w:tc>
          <w:tcPr>
            <w:tcW w:w="817" w:type="dxa"/>
          </w:tcPr>
          <w:p w:rsidR="00D113BC" w:rsidRPr="008D5429" w:rsidRDefault="008D5429" w:rsidP="00AD5779">
            <w:pPr>
              <w:spacing w:line="312" w:lineRule="auto"/>
              <w:rPr>
                <w:rFonts w:ascii="宋体" w:hAnsi="宋体"/>
                <w:sz w:val="24"/>
                <w:szCs w:val="28"/>
              </w:rPr>
            </w:pPr>
            <w:r>
              <w:rPr>
                <w:rFonts w:ascii="宋体" w:hAnsi="宋体" w:hint="eastAsia"/>
                <w:sz w:val="24"/>
                <w:szCs w:val="28"/>
              </w:rPr>
              <w:t>10</w:t>
            </w:r>
          </w:p>
        </w:tc>
        <w:tc>
          <w:tcPr>
            <w:tcW w:w="7655" w:type="dxa"/>
          </w:tcPr>
          <w:p w:rsidR="00D113BC" w:rsidRPr="008D5429" w:rsidRDefault="008D5429" w:rsidP="00AD5779">
            <w:pPr>
              <w:spacing w:line="312" w:lineRule="auto"/>
              <w:rPr>
                <w:rFonts w:ascii="宋体" w:hAnsi="宋体"/>
                <w:sz w:val="24"/>
                <w:szCs w:val="28"/>
              </w:rPr>
            </w:pPr>
            <w:r w:rsidRPr="008D5429">
              <w:rPr>
                <w:rFonts w:ascii="宋体" w:hAnsi="宋体" w:hint="eastAsia"/>
                <w:sz w:val="24"/>
                <w:szCs w:val="28"/>
              </w:rPr>
              <w:t>每年提供</w:t>
            </w:r>
            <w:r w:rsidRPr="008D5429">
              <w:rPr>
                <w:rFonts w:ascii="宋体" w:hAnsi="宋体"/>
                <w:sz w:val="24"/>
                <w:szCs w:val="28"/>
              </w:rPr>
              <w:t>定期保养</w:t>
            </w:r>
            <w:r w:rsidR="00D113BC" w:rsidRPr="008D5429">
              <w:rPr>
                <w:rFonts w:ascii="宋体" w:hAnsi="宋体"/>
                <w:sz w:val="24"/>
                <w:szCs w:val="28"/>
              </w:rPr>
              <w:t>，使之保持原厂</w:t>
            </w:r>
            <w:r w:rsidR="00D113BC" w:rsidRPr="008D5429">
              <w:rPr>
                <w:rFonts w:ascii="宋体" w:hAnsi="宋体" w:hint="eastAsia"/>
                <w:sz w:val="24"/>
                <w:szCs w:val="28"/>
              </w:rPr>
              <w:t>QC标准或国家质量技监部门之标准，并有原厂技术组长或技术支持专家审核合格的PM report。包含但不限于如下项目：设备清洁、性能测试及校准、必要的电气环境检查</w:t>
            </w:r>
          </w:p>
        </w:tc>
      </w:tr>
    </w:tbl>
    <w:p w:rsidR="00D113BC" w:rsidRDefault="00D113BC" w:rsidP="00D113BC"/>
    <w:p w:rsidR="00D113BC" w:rsidRDefault="00D113BC" w:rsidP="00D113BC"/>
    <w:p w:rsidR="00D113BC" w:rsidRDefault="00D113BC" w:rsidP="00D113BC"/>
    <w:p w:rsidR="00D113BC" w:rsidRDefault="00D113BC" w:rsidP="00D113BC">
      <w:pPr>
        <w:rPr>
          <w:b/>
          <w:sz w:val="36"/>
          <w:szCs w:val="36"/>
        </w:rPr>
      </w:pPr>
    </w:p>
    <w:p w:rsidR="00D113BC" w:rsidRPr="00D113BC" w:rsidRDefault="00D113BC" w:rsidP="00D113BC">
      <w:pPr>
        <w:rPr>
          <w:b/>
          <w:sz w:val="32"/>
          <w:szCs w:val="32"/>
        </w:rPr>
      </w:pPr>
    </w:p>
    <w:sectPr w:rsidR="00D113BC" w:rsidRPr="00D113BC" w:rsidSect="00D816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694" w:rsidRDefault="002E4694" w:rsidP="00D113BC">
      <w:r>
        <w:separator/>
      </w:r>
    </w:p>
  </w:endnote>
  <w:endnote w:type="continuationSeparator" w:id="1">
    <w:p w:rsidR="002E4694" w:rsidRDefault="002E4694" w:rsidP="00D11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694" w:rsidRDefault="002E4694" w:rsidP="00D113BC">
      <w:r>
        <w:separator/>
      </w:r>
    </w:p>
  </w:footnote>
  <w:footnote w:type="continuationSeparator" w:id="1">
    <w:p w:rsidR="002E4694" w:rsidRDefault="002E4694" w:rsidP="00D11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3BC"/>
    <w:rsid w:val="002E4694"/>
    <w:rsid w:val="00806A30"/>
    <w:rsid w:val="008D5429"/>
    <w:rsid w:val="008F16A3"/>
    <w:rsid w:val="009965DC"/>
    <w:rsid w:val="00AD5779"/>
    <w:rsid w:val="00AF64F0"/>
    <w:rsid w:val="00CB6C45"/>
    <w:rsid w:val="00D113BC"/>
    <w:rsid w:val="00D46F42"/>
    <w:rsid w:val="00D81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1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13BC"/>
    <w:rPr>
      <w:sz w:val="18"/>
      <w:szCs w:val="18"/>
    </w:rPr>
  </w:style>
  <w:style w:type="paragraph" w:styleId="a4">
    <w:name w:val="footer"/>
    <w:basedOn w:val="a"/>
    <w:link w:val="Char0"/>
    <w:uiPriority w:val="99"/>
    <w:semiHidden/>
    <w:unhideWhenUsed/>
    <w:rsid w:val="00D113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13BC"/>
    <w:rPr>
      <w:sz w:val="18"/>
      <w:szCs w:val="18"/>
    </w:rPr>
  </w:style>
  <w:style w:type="table" w:styleId="a5">
    <w:name w:val="Table Grid"/>
    <w:basedOn w:val="a1"/>
    <w:uiPriority w:val="59"/>
    <w:rsid w:val="00D1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2017-11-06T08:34:00Z</dcterms:created>
  <dcterms:modified xsi:type="dcterms:W3CDTF">2017-12-28T01:55:00Z</dcterms:modified>
</cp:coreProperties>
</file>